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77" w:rsidRPr="00577113" w:rsidRDefault="009F2B77" w:rsidP="00577113">
      <w:pPr>
        <w:tabs>
          <w:tab w:val="left" w:pos="945"/>
          <w:tab w:val="left" w:pos="4320"/>
          <w:tab w:val="left" w:pos="6930"/>
        </w:tabs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</w:rPr>
        <w:t xml:space="preserve">                                           </w:t>
      </w:r>
      <w:r w:rsidRPr="00577113">
        <w:rPr>
          <w:rFonts w:ascii="Cambria" w:hAnsi="Cambria" w:cs="Cambria"/>
          <w:b/>
          <w:sz w:val="24"/>
          <w:szCs w:val="24"/>
        </w:rPr>
        <w:t xml:space="preserve">Расшифровка расходов по </w:t>
      </w:r>
      <w:proofErr w:type="spellStart"/>
      <w:r w:rsidRPr="00577113">
        <w:rPr>
          <w:rFonts w:ascii="Cambria" w:hAnsi="Cambria" w:cs="Cambria"/>
          <w:b/>
          <w:sz w:val="24"/>
          <w:szCs w:val="24"/>
        </w:rPr>
        <w:t>Хасаут-Греческому</w:t>
      </w:r>
      <w:proofErr w:type="spellEnd"/>
      <w:r w:rsidRPr="00577113">
        <w:rPr>
          <w:rFonts w:ascii="Cambria" w:hAnsi="Cambria" w:cs="Cambria"/>
          <w:b/>
          <w:sz w:val="24"/>
          <w:szCs w:val="24"/>
        </w:rPr>
        <w:t xml:space="preserve"> СП</w:t>
      </w:r>
      <w:r w:rsidRPr="00577113">
        <w:rPr>
          <w:rFonts w:ascii="Cambria" w:hAnsi="Cambria" w:cs="Cambria"/>
          <w:b/>
          <w:sz w:val="24"/>
          <w:szCs w:val="24"/>
        </w:rPr>
        <w:tab/>
      </w:r>
    </w:p>
    <w:p w:rsidR="009F2B77" w:rsidRDefault="009F2B77">
      <w:pPr>
        <w:rPr>
          <w:rFonts w:ascii="Cambria" w:hAnsi="Cambria" w:cs="Cambria"/>
        </w:rPr>
      </w:pPr>
    </w:p>
    <w:p w:rsidR="009F2B77" w:rsidRPr="00577113" w:rsidRDefault="009F2B77">
      <w:pPr>
        <w:jc w:val="both"/>
        <w:rPr>
          <w:rFonts w:ascii="Cambria" w:hAnsi="Cambria" w:cs="Cambria"/>
        </w:rPr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 w:rsidRPr="00577113">
        <w:rPr>
          <w:rFonts w:ascii="Cambria" w:hAnsi="Cambria" w:cs="Cambria"/>
        </w:rPr>
        <w:t>За 20</w:t>
      </w:r>
      <w:r w:rsidR="00B16B7D">
        <w:rPr>
          <w:rFonts w:ascii="Cambria" w:hAnsi="Cambria" w:cs="Cambria"/>
        </w:rPr>
        <w:t>22</w:t>
      </w:r>
      <w:r w:rsidRPr="00577113">
        <w:rPr>
          <w:rFonts w:ascii="Cambria" w:hAnsi="Cambria" w:cs="Cambria"/>
        </w:rPr>
        <w:t xml:space="preserve"> год поступления   доходов составили : собственные доходы </w:t>
      </w:r>
      <w:r w:rsidR="00B16B7D">
        <w:rPr>
          <w:rFonts w:ascii="Cambria" w:hAnsi="Cambria" w:cs="Cambria"/>
        </w:rPr>
        <w:t>560,5</w:t>
      </w:r>
      <w:r w:rsidRPr="00577113">
        <w:rPr>
          <w:rFonts w:ascii="Cambria" w:hAnsi="Cambria" w:cs="Cambria"/>
        </w:rPr>
        <w:t>т</w:t>
      </w:r>
      <w:proofErr w:type="gramStart"/>
      <w:r w:rsidRPr="00577113">
        <w:rPr>
          <w:rFonts w:ascii="Cambria" w:hAnsi="Cambria" w:cs="Cambria"/>
        </w:rPr>
        <w:t>.р</w:t>
      </w:r>
      <w:proofErr w:type="gramEnd"/>
      <w:r w:rsidRPr="00577113">
        <w:rPr>
          <w:rFonts w:ascii="Cambria" w:hAnsi="Cambria" w:cs="Cambria"/>
        </w:rPr>
        <w:t xml:space="preserve">уб. дотация </w:t>
      </w:r>
      <w:r w:rsidR="00B16B7D">
        <w:rPr>
          <w:rFonts w:ascii="Cambria" w:hAnsi="Cambria" w:cs="Cambria"/>
        </w:rPr>
        <w:t xml:space="preserve">3834,9 </w:t>
      </w:r>
      <w:r w:rsidRPr="00577113">
        <w:rPr>
          <w:rFonts w:ascii="Cambria" w:hAnsi="Cambria" w:cs="Cambria"/>
        </w:rPr>
        <w:t>т.руб. Расходы за 20</w:t>
      </w:r>
      <w:r w:rsidR="00B16B7D">
        <w:rPr>
          <w:rFonts w:ascii="Cambria" w:hAnsi="Cambria" w:cs="Cambria"/>
        </w:rPr>
        <w:t>22</w:t>
      </w:r>
      <w:r w:rsidRPr="00577113">
        <w:rPr>
          <w:rFonts w:ascii="Cambria" w:hAnsi="Cambria" w:cs="Cambria"/>
        </w:rPr>
        <w:t xml:space="preserve"> год выполнены на сумму </w:t>
      </w:r>
      <w:r w:rsidR="00B16B7D">
        <w:rPr>
          <w:rFonts w:ascii="Cambria" w:hAnsi="Cambria" w:cs="Cambria"/>
        </w:rPr>
        <w:t xml:space="preserve">4318,9 </w:t>
      </w:r>
      <w:r w:rsidRPr="00577113">
        <w:rPr>
          <w:rFonts w:ascii="Cambria" w:hAnsi="Cambria" w:cs="Cambria"/>
        </w:rPr>
        <w:t>т.руб.</w:t>
      </w:r>
    </w:p>
    <w:tbl>
      <w:tblPr>
        <w:tblW w:w="0" w:type="auto"/>
        <w:tblInd w:w="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53"/>
        <w:gridCol w:w="4462"/>
        <w:gridCol w:w="2160"/>
      </w:tblGrid>
      <w:tr w:rsidR="009F2B77" w:rsidRPr="00540CC8" w:rsidTr="004370A4">
        <w:trPr>
          <w:trHeight w:val="675"/>
        </w:trPr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B16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2B77" w:rsidRPr="004370A4" w:rsidRDefault="009F2B77">
            <w:pPr>
              <w:jc w:val="center"/>
              <w:rPr>
                <w:rFonts w:ascii="Cambria" w:hAnsi="Cambria" w:cs="Cambria"/>
                <w:b/>
              </w:rPr>
            </w:pPr>
          </w:p>
          <w:p w:rsidR="009F2B77" w:rsidRPr="004370A4" w:rsidRDefault="009F2B77" w:rsidP="00F508DF">
            <w:r w:rsidRPr="004370A4">
              <w:rPr>
                <w:rFonts w:ascii="Cambria" w:hAnsi="Cambria" w:cs="Cambria"/>
                <w:b/>
              </w:rPr>
              <w:t>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9F2B77">
            <w:pPr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F2B77" w:rsidRDefault="009F2B77">
            <w:pPr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F2B77" w:rsidRDefault="009F2B77">
            <w:pPr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9F2B77" w:rsidRPr="00540CC8" w:rsidRDefault="009F2B77" w:rsidP="00F508DF">
            <w:r w:rsidRPr="004370A4">
              <w:rPr>
                <w:rFonts w:ascii="Cambria" w:hAnsi="Cambria" w:cs="Cambria"/>
                <w:b/>
              </w:rPr>
              <w:t>сумма</w:t>
            </w:r>
            <w:r w:rsidRPr="004370A4">
              <w:t xml:space="preserve"> </w:t>
            </w: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9F2B77" w:rsidRPr="00540CC8" w:rsidTr="004370A4">
        <w:trPr>
          <w:trHeight w:val="420"/>
        </w:trPr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2B77" w:rsidRDefault="009F2B77">
            <w:pPr>
              <w:rPr>
                <w:rFonts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9F2B77">
            <w:pPr>
              <w:rPr>
                <w:rFonts w:cs="Calibri"/>
              </w:rPr>
            </w:pPr>
          </w:p>
        </w:tc>
      </w:tr>
      <w:tr w:rsidR="009F2B77" w:rsidRPr="00540CC8" w:rsidTr="00C515C7">
        <w:trPr>
          <w:trHeight w:val="37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 w:rsidP="00B16B7D">
            <w:pPr>
              <w:rPr>
                <w:rFonts w:cs="Calibri"/>
                <w:sz w:val="24"/>
                <w:szCs w:val="24"/>
              </w:rPr>
            </w:pPr>
            <w:r w:rsidRPr="00DA6E15">
              <w:rPr>
                <w:rFonts w:cs="Calibri"/>
                <w:b/>
                <w:sz w:val="24"/>
                <w:szCs w:val="24"/>
              </w:rPr>
              <w:t>Глава</w:t>
            </w:r>
            <w:r>
              <w:rPr>
                <w:rFonts w:cs="Calibri"/>
                <w:sz w:val="24"/>
                <w:szCs w:val="24"/>
              </w:rPr>
              <w:t xml:space="preserve"> – </w:t>
            </w:r>
            <w:r w:rsidR="00B16B7D">
              <w:rPr>
                <w:rFonts w:cs="Calibri"/>
                <w:b/>
                <w:sz w:val="24"/>
                <w:szCs w:val="24"/>
              </w:rPr>
              <w:t>708,9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 xml:space="preserve">Заработная плата с начислениями </w:t>
            </w:r>
            <w:r w:rsidR="00B16B7D">
              <w:rPr>
                <w:rFonts w:cs="Calibri"/>
                <w:sz w:val="20"/>
                <w:szCs w:val="20"/>
              </w:rPr>
              <w:t>30,2%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B16B7D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708,9</w:t>
            </w:r>
          </w:p>
        </w:tc>
      </w:tr>
      <w:tr w:rsidR="009F2B77" w:rsidRPr="00540CC8" w:rsidTr="00C515C7">
        <w:trPr>
          <w:trHeight w:val="407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 w:rsidP="00B16B7D">
            <w:pPr>
              <w:rPr>
                <w:sz w:val="24"/>
                <w:szCs w:val="24"/>
              </w:rPr>
            </w:pPr>
            <w:r w:rsidRPr="00DA6E15">
              <w:rPr>
                <w:rFonts w:ascii="Cambria" w:hAnsi="Cambria" w:cs="Cambria"/>
                <w:b/>
                <w:sz w:val="24"/>
                <w:szCs w:val="24"/>
              </w:rPr>
              <w:t>Аппарат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– </w:t>
            </w:r>
            <w:r w:rsidR="00B16B7D">
              <w:rPr>
                <w:rFonts w:ascii="Cambria" w:hAnsi="Cambria" w:cs="Cambria"/>
                <w:b/>
                <w:sz w:val="24"/>
                <w:szCs w:val="24"/>
              </w:rPr>
              <w:t>1814,9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Заработная плата с начислениями</w:t>
            </w:r>
            <w:r w:rsidR="00B16B7D">
              <w:rPr>
                <w:rFonts w:cs="Calibri"/>
                <w:sz w:val="20"/>
                <w:szCs w:val="20"/>
              </w:rPr>
              <w:t xml:space="preserve"> 30,2%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F2B77" w:rsidRDefault="009F2B77">
            <w:pPr>
              <w:jc w:val="center"/>
              <w:rPr>
                <w:rFonts w:cs="Calibri"/>
              </w:rPr>
            </w:pPr>
          </w:p>
          <w:p w:rsidR="009F2B77" w:rsidRDefault="00B16B7D" w:rsidP="00F508DF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1347,8</w:t>
            </w:r>
          </w:p>
        </w:tc>
      </w:tr>
      <w:tr w:rsidR="009F2B77" w:rsidRPr="00540CC8" w:rsidTr="004370A4">
        <w:trPr>
          <w:trHeight w:val="33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Услуги связи и интернет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B16B7D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70,8</w:t>
            </w:r>
          </w:p>
        </w:tc>
      </w:tr>
      <w:tr w:rsidR="009F2B77" w:rsidRPr="00540CC8" w:rsidTr="004370A4">
        <w:trPr>
          <w:trHeight w:val="33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Электроэнергия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B16B7D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B16B7D" w:rsidRPr="00540CC8" w:rsidTr="004370A4">
        <w:trPr>
          <w:trHeight w:val="33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6B7D" w:rsidRPr="004370A4" w:rsidRDefault="00B16B7D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6B7D" w:rsidRPr="00263700" w:rsidRDefault="00B16B7D" w:rsidP="004370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Аренда автомобиля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6B7D" w:rsidRDefault="00B16B7D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</w:tr>
      <w:tr w:rsidR="009F2B77" w:rsidRPr="00540CC8" w:rsidTr="004370A4">
        <w:trPr>
          <w:trHeight w:val="33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C515C7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 xml:space="preserve">Обслуживание сайта, </w:t>
            </w:r>
            <w:r w:rsidR="00B16B7D">
              <w:rPr>
                <w:rFonts w:cs="Calibri"/>
                <w:sz w:val="20"/>
                <w:szCs w:val="20"/>
              </w:rPr>
              <w:t>программы,</w:t>
            </w:r>
            <w:r w:rsidRPr="00263700">
              <w:rPr>
                <w:rFonts w:cs="Calibri"/>
                <w:sz w:val="20"/>
                <w:szCs w:val="20"/>
              </w:rPr>
              <w:t xml:space="preserve"> публикация решений</w:t>
            </w:r>
            <w:r w:rsidR="00B16B7D">
              <w:rPr>
                <w:rFonts w:cs="Calibri"/>
                <w:sz w:val="20"/>
                <w:szCs w:val="20"/>
              </w:rPr>
              <w:t>, договор ГПХ,</w:t>
            </w:r>
            <w:r w:rsidR="00C515C7">
              <w:rPr>
                <w:rFonts w:cs="Calibri"/>
                <w:sz w:val="20"/>
                <w:szCs w:val="20"/>
              </w:rPr>
              <w:t xml:space="preserve"> </w:t>
            </w:r>
            <w:r w:rsidR="00B16B7D">
              <w:rPr>
                <w:rFonts w:cs="Calibri"/>
                <w:sz w:val="20"/>
                <w:szCs w:val="20"/>
              </w:rPr>
              <w:t>мусор, оплата ЭЦП, подписка на газеты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B16B7D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47,9</w:t>
            </w:r>
          </w:p>
        </w:tc>
      </w:tr>
      <w:tr w:rsidR="009F2B77" w:rsidRPr="00540CC8" w:rsidTr="004370A4">
        <w:trPr>
          <w:trHeight w:val="36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B16B7D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Н</w:t>
            </w:r>
            <w:r w:rsidR="009F2B77" w:rsidRPr="00263700">
              <w:rPr>
                <w:rFonts w:cs="Calibri"/>
                <w:sz w:val="20"/>
                <w:szCs w:val="20"/>
              </w:rPr>
              <w:t>алоги</w:t>
            </w:r>
            <w:r>
              <w:rPr>
                <w:rFonts w:cs="Calibri"/>
                <w:sz w:val="20"/>
                <w:szCs w:val="20"/>
              </w:rPr>
              <w:t>, пени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B16B7D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33,5</w:t>
            </w:r>
          </w:p>
        </w:tc>
      </w:tr>
      <w:tr w:rsidR="00B16B7D" w:rsidRPr="00540CC8" w:rsidTr="004370A4">
        <w:trPr>
          <w:trHeight w:val="36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6B7D" w:rsidRPr="004370A4" w:rsidRDefault="00B16B7D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6B7D" w:rsidRPr="00263700" w:rsidRDefault="00DA6E15" w:rsidP="004370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16B7D" w:rsidRDefault="00DA6E15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118,7</w:t>
            </w:r>
          </w:p>
        </w:tc>
      </w:tr>
      <w:tr w:rsidR="009F2B77" w:rsidRPr="00540CC8" w:rsidTr="004370A4">
        <w:trPr>
          <w:trHeight w:val="36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канцелярские товары</w:t>
            </w:r>
            <w:r w:rsidR="00DA6E15">
              <w:rPr>
                <w:rFonts w:cs="Calibri"/>
                <w:sz w:val="20"/>
                <w:szCs w:val="20"/>
              </w:rPr>
              <w:t xml:space="preserve">, заправка картриджей, приобретение красок, </w:t>
            </w:r>
            <w:proofErr w:type="spellStart"/>
            <w:r w:rsidR="00DA6E15">
              <w:rPr>
                <w:rFonts w:cs="Calibri"/>
                <w:sz w:val="20"/>
                <w:szCs w:val="20"/>
              </w:rPr>
              <w:t>з</w:t>
            </w:r>
            <w:proofErr w:type="spellEnd"/>
            <w:r w:rsidR="00DA6E15">
              <w:rPr>
                <w:rFonts w:cs="Calibri"/>
                <w:sz w:val="20"/>
                <w:szCs w:val="20"/>
              </w:rPr>
              <w:t>/части для автомобиля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A6E15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67,1</w:t>
            </w:r>
          </w:p>
        </w:tc>
      </w:tr>
      <w:tr w:rsidR="009F2B77" w:rsidRPr="00540CC8" w:rsidTr="004370A4">
        <w:trPr>
          <w:trHeight w:val="36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 w:rsidP="00DA6E1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b/>
                <w:sz w:val="24"/>
                <w:szCs w:val="24"/>
              </w:rPr>
              <w:t>Вус</w:t>
            </w:r>
            <w:proofErr w:type="spellEnd"/>
            <w:r>
              <w:rPr>
                <w:rFonts w:ascii="Cambria" w:hAnsi="Cambria" w:cs="Cambria"/>
                <w:b/>
                <w:sz w:val="24"/>
                <w:szCs w:val="24"/>
              </w:rPr>
              <w:t xml:space="preserve"> – </w:t>
            </w:r>
            <w:r w:rsidR="00DA6E15" w:rsidRPr="00DA6E15">
              <w:rPr>
                <w:rFonts w:ascii="Cambria" w:hAnsi="Cambria" w:cs="Cambria"/>
                <w:b/>
                <w:sz w:val="24"/>
                <w:szCs w:val="24"/>
              </w:rPr>
              <w:t>102,9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Заработная плата с начислениями</w:t>
            </w:r>
            <w:r w:rsidR="00DA6E15">
              <w:rPr>
                <w:rFonts w:cs="Calibri"/>
                <w:sz w:val="20"/>
                <w:szCs w:val="20"/>
              </w:rPr>
              <w:t xml:space="preserve"> 30.2%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A6E15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91,6</w:t>
            </w:r>
          </w:p>
        </w:tc>
      </w:tr>
      <w:tr w:rsidR="009F2B77" w:rsidRPr="00540CC8" w:rsidTr="004370A4">
        <w:trPr>
          <w:trHeight w:val="39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A6E15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11,3</w:t>
            </w:r>
          </w:p>
        </w:tc>
      </w:tr>
      <w:tr w:rsidR="009F2B77" w:rsidRPr="00540CC8" w:rsidTr="004370A4">
        <w:trPr>
          <w:trHeight w:val="39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4370A4" w:rsidRDefault="009F2B77" w:rsidP="00DE7D87">
            <w:pPr>
              <w:rPr>
                <w:sz w:val="24"/>
                <w:szCs w:val="24"/>
              </w:rPr>
            </w:pPr>
            <w:r w:rsidRPr="00DA6E15">
              <w:rPr>
                <w:b/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 xml:space="preserve"> </w:t>
            </w:r>
            <w:r w:rsidR="00DE7D8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E7D87">
              <w:rPr>
                <w:b/>
                <w:sz w:val="24"/>
                <w:szCs w:val="24"/>
              </w:rPr>
              <w:t>533,5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4370A4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Заработная плата с начислениями</w:t>
            </w:r>
            <w:r w:rsidR="00DA6E15">
              <w:rPr>
                <w:rFonts w:cs="Calibri"/>
                <w:sz w:val="20"/>
                <w:szCs w:val="20"/>
              </w:rPr>
              <w:t xml:space="preserve"> 30,2%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A6E15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409,6</w:t>
            </w:r>
          </w:p>
        </w:tc>
      </w:tr>
      <w:tr w:rsidR="009F2B77" w:rsidRPr="00540CC8" w:rsidTr="004370A4">
        <w:trPr>
          <w:trHeight w:val="39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DA6E15" w:rsidP="0001226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ГАЗ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A6E15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22,5</w:t>
            </w:r>
          </w:p>
        </w:tc>
      </w:tr>
      <w:tr w:rsidR="009F2B77" w:rsidRPr="00540CC8" w:rsidTr="004370A4">
        <w:trPr>
          <w:trHeight w:val="42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9F2B77" w:rsidP="00012267">
            <w:pPr>
              <w:rPr>
                <w:rFonts w:cs="Calibri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Электроэнергия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A6E15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64,9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DA6E15" w:rsidP="00DE7D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</w:t>
            </w:r>
            <w:r w:rsidR="009F2B77" w:rsidRPr="00263700">
              <w:rPr>
                <w:rFonts w:cs="Calibri"/>
                <w:sz w:val="20"/>
                <w:szCs w:val="20"/>
              </w:rPr>
              <w:t xml:space="preserve">ероприятия </w:t>
            </w:r>
            <w:r w:rsidR="00DE7D87">
              <w:rPr>
                <w:rFonts w:cs="Calibri"/>
                <w:sz w:val="20"/>
                <w:szCs w:val="20"/>
              </w:rPr>
              <w:t>–</w:t>
            </w:r>
            <w:r w:rsidR="009F2B77" w:rsidRPr="00263700">
              <w:rPr>
                <w:rFonts w:cs="Calibri"/>
                <w:sz w:val="20"/>
                <w:szCs w:val="20"/>
              </w:rPr>
              <w:t xml:space="preserve"> </w:t>
            </w:r>
            <w:r w:rsidR="00DE7D87">
              <w:rPr>
                <w:rFonts w:cs="Calibri"/>
                <w:sz w:val="20"/>
                <w:szCs w:val="20"/>
              </w:rPr>
              <w:t>баннер</w:t>
            </w:r>
            <w:proofErr w:type="gramStart"/>
            <w:r w:rsidR="00DE7D87">
              <w:rPr>
                <w:rFonts w:cs="Calibri"/>
                <w:sz w:val="20"/>
                <w:szCs w:val="20"/>
              </w:rPr>
              <w:t>ы(</w:t>
            </w:r>
            <w:proofErr w:type="gramEnd"/>
            <w:r w:rsidR="00DE7D87">
              <w:rPr>
                <w:rFonts w:cs="Calibri"/>
                <w:sz w:val="20"/>
                <w:szCs w:val="20"/>
              </w:rPr>
              <w:t>День победы, Новый год)</w:t>
            </w:r>
            <w:r w:rsidR="009F2B77" w:rsidRPr="00263700">
              <w:rPr>
                <w:rFonts w:cs="Calibri"/>
                <w:sz w:val="20"/>
                <w:szCs w:val="20"/>
              </w:rPr>
              <w:t xml:space="preserve">,9 </w:t>
            </w:r>
            <w:r>
              <w:rPr>
                <w:rFonts w:cs="Calibri"/>
                <w:sz w:val="20"/>
                <w:szCs w:val="20"/>
              </w:rPr>
              <w:t xml:space="preserve">мая венки и </w:t>
            </w:r>
            <w:r w:rsidR="00DE7D87">
              <w:rPr>
                <w:rFonts w:cs="Calibri"/>
                <w:sz w:val="20"/>
                <w:szCs w:val="20"/>
              </w:rPr>
              <w:t>корзины, канц.товары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C515C7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36,</w:t>
            </w:r>
            <w:r w:rsidR="00C515C7">
              <w:rPr>
                <w:rFonts w:cs="Calibri"/>
              </w:rPr>
              <w:t>5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A71092" w:rsidRDefault="009F2B77" w:rsidP="00DE7D87">
            <w:r w:rsidRPr="00DE7D87">
              <w:rPr>
                <w:b/>
              </w:rPr>
              <w:t>Библиотека</w:t>
            </w:r>
            <w:r>
              <w:t xml:space="preserve">  - </w:t>
            </w:r>
            <w:r w:rsidR="00DE7D87">
              <w:rPr>
                <w:b/>
                <w:sz w:val="24"/>
                <w:szCs w:val="24"/>
              </w:rPr>
              <w:t>141,8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012267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Заработная плата с начислениями</w:t>
            </w:r>
            <w:r w:rsidR="00DE7D87">
              <w:rPr>
                <w:rFonts w:cs="Calibri"/>
                <w:sz w:val="20"/>
                <w:szCs w:val="20"/>
              </w:rPr>
              <w:t xml:space="preserve"> 30,2%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C515C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123,3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263700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Подписка на газеты и журналы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C515C7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9,</w:t>
            </w:r>
            <w:r w:rsidR="00C515C7">
              <w:rPr>
                <w:rFonts w:cs="Calibri"/>
              </w:rPr>
              <w:t>2</w:t>
            </w:r>
          </w:p>
        </w:tc>
      </w:tr>
      <w:tr w:rsidR="00DE7D8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E7D87" w:rsidRPr="00540CC8" w:rsidRDefault="00DE7D8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E7D87" w:rsidRPr="00263700" w:rsidRDefault="00DE7D87" w:rsidP="002637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Приобретение формуляров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E7D87" w:rsidRDefault="00DE7D8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9,3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A71092" w:rsidRDefault="009F2B77" w:rsidP="00DE7D87">
            <w:r w:rsidRPr="00DE7D87">
              <w:rPr>
                <w:b/>
              </w:rPr>
              <w:t>Дорожный фонд</w:t>
            </w:r>
            <w:r>
              <w:t xml:space="preserve"> – </w:t>
            </w:r>
            <w:r w:rsidR="00DE7D87">
              <w:rPr>
                <w:b/>
                <w:sz w:val="24"/>
                <w:szCs w:val="24"/>
              </w:rPr>
              <w:t>651,0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263700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Аренда экскаватора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372,5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DE7D87" w:rsidP="002637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Аренда бульдозера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278,5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A71092" w:rsidRDefault="009F2B77" w:rsidP="00012267">
            <w:r w:rsidRPr="00DE7D87">
              <w:rPr>
                <w:b/>
              </w:rPr>
              <w:t>Уличное освещение</w:t>
            </w:r>
            <w:r>
              <w:t xml:space="preserve">- </w:t>
            </w:r>
            <w:r w:rsidRPr="00337C14">
              <w:rPr>
                <w:b/>
                <w:sz w:val="24"/>
                <w:szCs w:val="24"/>
              </w:rPr>
              <w:t>74</w:t>
            </w:r>
            <w:r w:rsidRPr="00337C14">
              <w:rPr>
                <w:b/>
              </w:rPr>
              <w:t>,4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012267">
            <w:pPr>
              <w:rPr>
                <w:rFonts w:cs="Calibri"/>
                <w:sz w:val="20"/>
                <w:szCs w:val="20"/>
              </w:rPr>
            </w:pPr>
            <w:r w:rsidRPr="00263700">
              <w:rPr>
                <w:rFonts w:cs="Calibri"/>
                <w:sz w:val="20"/>
                <w:szCs w:val="20"/>
              </w:rPr>
              <w:t>Электроэнергия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117,2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 w:rsidP="00E3471B">
            <w:r w:rsidRPr="00DE7D87">
              <w:rPr>
                <w:b/>
              </w:rPr>
              <w:t>Благоустройство</w:t>
            </w:r>
            <w:r>
              <w:t xml:space="preserve"> -  </w:t>
            </w:r>
            <w:r w:rsidR="00E3471B">
              <w:rPr>
                <w:b/>
                <w:sz w:val="24"/>
                <w:szCs w:val="24"/>
              </w:rPr>
              <w:t>221,7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DE7D87" w:rsidP="002637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Кадастровые расходы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88,0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A71092" w:rsidRDefault="009F2B7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DE7D87" w:rsidP="002637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Установка детской игровой площадки по ул. О.Касаева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DE7D8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106,4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DE7D87" w:rsidP="002637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C515C7" w:rsidP="00C515C7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19,3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A71092" w:rsidRDefault="009F2B77" w:rsidP="00012267"/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C515C7" w:rsidP="002637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Проведение субботников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C515C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5,0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540CC8" w:rsidRDefault="009F2B77" w:rsidP="00C515C7">
            <w:r w:rsidRPr="00C515C7">
              <w:rPr>
                <w:b/>
              </w:rPr>
              <w:t>Соц.</w:t>
            </w:r>
            <w:r w:rsidR="00C515C7">
              <w:rPr>
                <w:b/>
              </w:rPr>
              <w:t xml:space="preserve"> </w:t>
            </w:r>
            <w:r w:rsidRPr="00C515C7">
              <w:rPr>
                <w:b/>
              </w:rPr>
              <w:t>политика</w:t>
            </w:r>
            <w:r>
              <w:t xml:space="preserve"> – </w:t>
            </w:r>
            <w:r w:rsidR="00C515C7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C515C7" w:rsidP="00C515C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Материальная помощь для малообеспеченных и семей  мобилизованных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C515C7" w:rsidP="00012267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17,6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A71092" w:rsidRDefault="009F2B77" w:rsidP="00C515C7">
            <w:r w:rsidRPr="00C515C7">
              <w:rPr>
                <w:b/>
              </w:rPr>
              <w:t>Межбюджетные трансферты</w:t>
            </w:r>
            <w:r>
              <w:t xml:space="preserve"> -</w:t>
            </w:r>
            <w:r w:rsidR="00C515C7">
              <w:rPr>
                <w:b/>
              </w:rPr>
              <w:t>9,1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5904E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Оплата Ревизионной комиссии по соглашению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C515C7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9,1</w:t>
            </w:r>
          </w:p>
        </w:tc>
      </w:tr>
      <w:tr w:rsidR="009F2B77" w:rsidTr="00A71092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E3471B" w:rsidRDefault="009F2B77" w:rsidP="00012267">
            <w:pPr>
              <w:rPr>
                <w:b/>
              </w:rPr>
            </w:pPr>
            <w:r w:rsidRPr="00E3471B">
              <w:rPr>
                <w:b/>
              </w:rPr>
              <w:t>Итого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Pr="00263700" w:rsidRDefault="009F2B77" w:rsidP="005904E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F2B77" w:rsidRDefault="00E3471B" w:rsidP="00A7109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4318,9</w:t>
            </w:r>
          </w:p>
        </w:tc>
      </w:tr>
    </w:tbl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  <w:proofErr w:type="spellStart"/>
      <w:r>
        <w:rPr>
          <w:rFonts w:ascii="Cambria" w:hAnsi="Cambria" w:cs="Cambria"/>
          <w:sz w:val="24"/>
        </w:rPr>
        <w:t>Гланый</w:t>
      </w:r>
      <w:proofErr w:type="spellEnd"/>
      <w:r>
        <w:rPr>
          <w:rFonts w:ascii="Cambria" w:hAnsi="Cambria" w:cs="Cambria"/>
          <w:sz w:val="24"/>
        </w:rPr>
        <w:t xml:space="preserve"> бухгалтер                                             </w:t>
      </w:r>
      <w:proofErr w:type="spellStart"/>
      <w:r>
        <w:rPr>
          <w:rFonts w:ascii="Cambria" w:hAnsi="Cambria" w:cs="Cambria"/>
          <w:sz w:val="24"/>
        </w:rPr>
        <w:t>Халджиева</w:t>
      </w:r>
      <w:proofErr w:type="spellEnd"/>
      <w:r>
        <w:rPr>
          <w:rFonts w:ascii="Cambria" w:hAnsi="Cambria" w:cs="Cambria"/>
          <w:sz w:val="24"/>
        </w:rPr>
        <w:t xml:space="preserve"> Р.И.</w:t>
      </w: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p w:rsidR="009F2B77" w:rsidRDefault="009F2B77">
      <w:pPr>
        <w:rPr>
          <w:rFonts w:ascii="Cambria" w:hAnsi="Cambria" w:cs="Cambria"/>
          <w:sz w:val="24"/>
        </w:rPr>
      </w:pPr>
    </w:p>
    <w:sectPr w:rsidR="009F2B77" w:rsidSect="0082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BBA"/>
    <w:rsid w:val="00012267"/>
    <w:rsid w:val="000B1C0B"/>
    <w:rsid w:val="00193132"/>
    <w:rsid w:val="001C71F8"/>
    <w:rsid w:val="0020267B"/>
    <w:rsid w:val="00263700"/>
    <w:rsid w:val="00337C14"/>
    <w:rsid w:val="00385B49"/>
    <w:rsid w:val="004370A4"/>
    <w:rsid w:val="004F78A1"/>
    <w:rsid w:val="00540CC8"/>
    <w:rsid w:val="00577113"/>
    <w:rsid w:val="00585D39"/>
    <w:rsid w:val="005904EA"/>
    <w:rsid w:val="00595B2D"/>
    <w:rsid w:val="0062491B"/>
    <w:rsid w:val="006449A2"/>
    <w:rsid w:val="00662388"/>
    <w:rsid w:val="0069524A"/>
    <w:rsid w:val="007F3C17"/>
    <w:rsid w:val="00824B03"/>
    <w:rsid w:val="00841811"/>
    <w:rsid w:val="00843CD5"/>
    <w:rsid w:val="00861160"/>
    <w:rsid w:val="00955645"/>
    <w:rsid w:val="009F2B77"/>
    <w:rsid w:val="00A71092"/>
    <w:rsid w:val="00AA6239"/>
    <w:rsid w:val="00AE05BC"/>
    <w:rsid w:val="00B16B7D"/>
    <w:rsid w:val="00B709F9"/>
    <w:rsid w:val="00BB315B"/>
    <w:rsid w:val="00BD4BBA"/>
    <w:rsid w:val="00BF04B6"/>
    <w:rsid w:val="00C515C7"/>
    <w:rsid w:val="00C85EC3"/>
    <w:rsid w:val="00D16929"/>
    <w:rsid w:val="00DA6E15"/>
    <w:rsid w:val="00DE7D87"/>
    <w:rsid w:val="00E3471B"/>
    <w:rsid w:val="00F508DF"/>
    <w:rsid w:val="00FB289D"/>
    <w:rsid w:val="00FC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4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0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491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333</cp:lastModifiedBy>
  <cp:revision>12</cp:revision>
  <cp:lastPrinted>2023-09-01T10:03:00Z</cp:lastPrinted>
  <dcterms:created xsi:type="dcterms:W3CDTF">2013-11-11T05:35:00Z</dcterms:created>
  <dcterms:modified xsi:type="dcterms:W3CDTF">2023-09-01T10:09:00Z</dcterms:modified>
</cp:coreProperties>
</file>